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77"/>
        <w:gridCol w:w="3402"/>
        <w:gridCol w:w="3969"/>
      </w:tblGrid>
      <w:tr w:rsidR="004330ED" w:rsidTr="00EA1CE4">
        <w:tc>
          <w:tcPr>
            <w:tcW w:w="6379" w:type="dxa"/>
            <w:gridSpan w:val="2"/>
            <w:tcBorders>
              <w:top w:val="nil"/>
              <w:left w:val="nil"/>
              <w:bottom w:val="nil"/>
              <w:right w:val="nil"/>
            </w:tcBorders>
            <w:vAlign w:val="center"/>
          </w:tcPr>
          <w:p w:rsidR="004330ED" w:rsidRDefault="004330ED" w:rsidP="00EA1CE4">
            <w:pPr>
              <w:pStyle w:val="Amendement"/>
              <w:tabs>
                <w:tab w:val="clear" w:pos="3310"/>
                <w:tab w:val="clear" w:pos="3600"/>
              </w:tabs>
              <w:rPr>
                <w:rFonts w:ascii="Times New Roman" w:hAnsi="Times New Roman"/>
                <w:spacing w:val="40"/>
                <w:sz w:val="22"/>
              </w:rPr>
            </w:pPr>
            <w:r>
              <w:rPr>
                <w:rFonts w:ascii="Times New Roman" w:hAnsi="Times New Roman"/>
                <w:spacing w:val="40"/>
                <w:sz w:val="30"/>
              </w:rPr>
              <w:t>T</w:t>
            </w:r>
            <w:r w:rsidR="0021777F">
              <w:rPr>
                <w:rFonts w:ascii="Times New Roman" w:hAnsi="Times New Roman"/>
                <w:spacing w:val="40"/>
                <w:sz w:val="22"/>
              </w:rPr>
              <w:t>WEEDE</w:t>
            </w:r>
            <w:r>
              <w:rPr>
                <w:rFonts w:ascii="Times New Roman" w:hAnsi="Times New Roman"/>
                <w:spacing w:val="40"/>
                <w:sz w:val="22"/>
              </w:rPr>
              <w:t xml:space="preserve"> </w:t>
            </w:r>
            <w:r>
              <w:rPr>
                <w:rFonts w:ascii="Times New Roman" w:hAnsi="Times New Roman"/>
                <w:spacing w:val="40"/>
                <w:sz w:val="30"/>
              </w:rPr>
              <w:t>K</w:t>
            </w:r>
            <w:r w:rsidR="0021777F">
              <w:rPr>
                <w:rFonts w:ascii="Times New Roman" w:hAnsi="Times New Roman"/>
                <w:spacing w:val="40"/>
                <w:sz w:val="22"/>
              </w:rPr>
              <w:t xml:space="preserve">AMER </w:t>
            </w:r>
            <w:r>
              <w:rPr>
                <w:rFonts w:ascii="Times New Roman" w:hAnsi="Times New Roman"/>
                <w:spacing w:val="40"/>
                <w:sz w:val="22"/>
              </w:rPr>
              <w:t>DER</w:t>
            </w:r>
            <w:r>
              <w:rPr>
                <w:rFonts w:ascii="Times New Roman" w:hAnsi="Times New Roman"/>
                <w:spacing w:val="40"/>
                <w:sz w:val="30"/>
              </w:rPr>
              <w:t xml:space="preserve"> S</w:t>
            </w:r>
            <w:r>
              <w:rPr>
                <w:rFonts w:ascii="Times New Roman" w:hAnsi="Times New Roman"/>
                <w:spacing w:val="40"/>
                <w:sz w:val="22"/>
              </w:rPr>
              <w:t>TATEN-</w:t>
            </w:r>
            <w:r>
              <w:rPr>
                <w:rFonts w:ascii="Times New Roman" w:hAnsi="Times New Roman"/>
                <w:spacing w:val="40"/>
                <w:sz w:val="30"/>
              </w:rPr>
              <w:t>G</w:t>
            </w:r>
            <w:r>
              <w:rPr>
                <w:rFonts w:ascii="Times New Roman" w:hAnsi="Times New Roman"/>
                <w:spacing w:val="40"/>
                <w:sz w:val="22"/>
              </w:rPr>
              <w:t>ENERAAL</w:t>
            </w:r>
          </w:p>
        </w:tc>
        <w:tc>
          <w:tcPr>
            <w:tcW w:w="3969" w:type="dxa"/>
            <w:tcBorders>
              <w:top w:val="nil"/>
              <w:left w:val="nil"/>
              <w:bottom w:val="nil"/>
              <w:right w:val="nil"/>
            </w:tcBorders>
          </w:tcPr>
          <w:p w:rsidR="004330ED" w:rsidRDefault="004330ED" w:rsidP="006E0971">
            <w:pPr>
              <w:pStyle w:val="Amendement"/>
              <w:tabs>
                <w:tab w:val="clear" w:pos="3310"/>
                <w:tab w:val="clear" w:pos="3600"/>
              </w:tabs>
              <w:ind w:left="-70"/>
              <w:jc w:val="right"/>
              <w:rPr>
                <w:rFonts w:ascii="Times New Roman" w:hAnsi="Times New Roman"/>
                <w:spacing w:val="40"/>
                <w:sz w:val="22"/>
              </w:rPr>
            </w:pPr>
            <w:r>
              <w:rPr>
                <w:rFonts w:ascii="Times New Roman" w:hAnsi="Times New Roman"/>
                <w:sz w:val="88"/>
              </w:rPr>
              <w:t>2</w:t>
            </w:r>
          </w:p>
        </w:tc>
      </w:tr>
      <w:tr w:rsidR="004330ED" w:rsidTr="00EA1CE4">
        <w:trPr>
          <w:cantSplit/>
        </w:trPr>
        <w:tc>
          <w:tcPr>
            <w:tcW w:w="10348" w:type="dxa"/>
            <w:gridSpan w:val="3"/>
            <w:tcBorders>
              <w:top w:val="single" w:sz="4" w:space="0" w:color="auto"/>
              <w:left w:val="nil"/>
              <w:bottom w:val="nil"/>
              <w:right w:val="nil"/>
            </w:tcBorders>
          </w:tcPr>
          <w:p w:rsidR="004330ED" w:rsidRDefault="004330ED" w:rsidP="00DF712A">
            <w:pPr>
              <w:pStyle w:val="Amendement"/>
              <w:tabs>
                <w:tab w:val="clear" w:pos="3310"/>
                <w:tab w:val="clear" w:pos="3600"/>
              </w:tabs>
              <w:rPr>
                <w:rFonts w:ascii="Times New Roman" w:hAnsi="Times New Roman"/>
              </w:rPr>
            </w:pPr>
            <w:r>
              <w:rPr>
                <w:rFonts w:ascii="Times New Roman" w:hAnsi="Times New Roman"/>
                <w:b w:val="0"/>
              </w:rPr>
              <w:t>Vergaderjaar 20</w:t>
            </w:r>
            <w:r w:rsidR="00501109">
              <w:rPr>
                <w:rFonts w:ascii="Times New Roman" w:hAnsi="Times New Roman"/>
                <w:b w:val="0"/>
              </w:rPr>
              <w:t>1</w:t>
            </w:r>
            <w:r w:rsidR="00DF712A">
              <w:rPr>
                <w:rFonts w:ascii="Times New Roman" w:hAnsi="Times New Roman"/>
                <w:b w:val="0"/>
              </w:rPr>
              <w:t>6</w:t>
            </w:r>
            <w:r w:rsidR="005A6097">
              <w:rPr>
                <w:rFonts w:ascii="Times New Roman" w:hAnsi="Times New Roman"/>
                <w:b w:val="0"/>
              </w:rPr>
              <w:t>-201</w:t>
            </w:r>
            <w:r w:rsidR="00DF712A">
              <w:rPr>
                <w:rFonts w:ascii="Times New Roman" w:hAnsi="Times New Roman"/>
                <w:b w:val="0"/>
              </w:rPr>
              <w:t>7</w:t>
            </w:r>
          </w:p>
        </w:tc>
      </w:tr>
      <w:tr w:rsidR="004330ED" w:rsidTr="00EA1CE4">
        <w:trPr>
          <w:cantSplit/>
        </w:trPr>
        <w:tc>
          <w:tcPr>
            <w:tcW w:w="10348" w:type="dxa"/>
            <w:gridSpan w:val="3"/>
            <w:tcBorders>
              <w:top w:val="nil"/>
              <w:left w:val="nil"/>
              <w:bottom w:val="nil"/>
              <w:right w:val="nil"/>
            </w:tcBorders>
          </w:tcPr>
          <w:p w:rsidR="004330ED" w:rsidRDefault="004330ED" w:rsidP="00BF623B">
            <w:pPr>
              <w:pStyle w:val="Amendement"/>
              <w:tabs>
                <w:tab w:val="clear" w:pos="3310"/>
                <w:tab w:val="clear" w:pos="3600"/>
              </w:tabs>
              <w:rPr>
                <w:rFonts w:ascii="Times New Roman" w:hAnsi="Times New Roman"/>
                <w:b w:val="0"/>
              </w:rPr>
            </w:pPr>
          </w:p>
        </w:tc>
      </w:tr>
      <w:tr w:rsidR="004330ED" w:rsidTr="00EA1CE4">
        <w:trPr>
          <w:cantSplit/>
        </w:trPr>
        <w:tc>
          <w:tcPr>
            <w:tcW w:w="10348" w:type="dxa"/>
            <w:gridSpan w:val="3"/>
            <w:tcBorders>
              <w:top w:val="nil"/>
              <w:left w:val="nil"/>
              <w:bottom w:val="single" w:sz="4" w:space="0" w:color="auto"/>
              <w:right w:val="nil"/>
            </w:tcBorders>
          </w:tcPr>
          <w:p w:rsidR="004330ED" w:rsidRDefault="004330ED" w:rsidP="00BF623B">
            <w:pPr>
              <w:pStyle w:val="Amendement"/>
              <w:tabs>
                <w:tab w:val="clear" w:pos="3310"/>
                <w:tab w:val="clear" w:pos="3600"/>
              </w:tabs>
              <w:rPr>
                <w:rFonts w:ascii="Times New Roman" w:hAnsi="Times New Roman"/>
              </w:rPr>
            </w:pPr>
          </w:p>
        </w:tc>
      </w:tr>
      <w:tr w:rsidR="004330ED" w:rsidTr="00EA1C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977" w:type="dxa"/>
          </w:tcPr>
          <w:p w:rsidR="004330ED" w:rsidRDefault="004330ED" w:rsidP="006E0971">
            <w:pPr>
              <w:pStyle w:val="Amendement"/>
              <w:tabs>
                <w:tab w:val="clear" w:pos="3310"/>
                <w:tab w:val="clear" w:pos="3600"/>
              </w:tabs>
              <w:rPr>
                <w:rFonts w:ascii="Times New Roman" w:hAnsi="Times New Roman"/>
              </w:rPr>
            </w:pPr>
          </w:p>
        </w:tc>
        <w:tc>
          <w:tcPr>
            <w:tcW w:w="7371" w:type="dxa"/>
            <w:gridSpan w:val="2"/>
          </w:tcPr>
          <w:p w:rsidR="004330ED" w:rsidRDefault="004330ED" w:rsidP="006E0971">
            <w:pPr>
              <w:suppressAutoHyphens/>
              <w:ind w:left="-70"/>
              <w:rPr>
                <w:b/>
              </w:rPr>
            </w:pPr>
          </w:p>
        </w:tc>
      </w:tr>
      <w:tr w:rsidR="003C21AC" w:rsidTr="00EA1C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977" w:type="dxa"/>
          </w:tcPr>
          <w:p w:rsidR="003C21AC" w:rsidRPr="00C035D4" w:rsidRDefault="001E6128" w:rsidP="00EA1CE4">
            <w:pPr>
              <w:pStyle w:val="Amendement"/>
              <w:tabs>
                <w:tab w:val="clear" w:pos="3310"/>
                <w:tab w:val="clear" w:pos="3600"/>
              </w:tabs>
              <w:rPr>
                <w:rFonts w:ascii="Times New Roman" w:hAnsi="Times New Roman"/>
              </w:rPr>
            </w:pPr>
            <w:r>
              <w:rPr>
                <w:rFonts w:ascii="Times New Roman" w:hAnsi="Times New Roman"/>
              </w:rPr>
              <w:t>34 453</w:t>
            </w:r>
          </w:p>
        </w:tc>
        <w:tc>
          <w:tcPr>
            <w:tcW w:w="7371" w:type="dxa"/>
            <w:gridSpan w:val="2"/>
          </w:tcPr>
          <w:p w:rsidR="003C21AC" w:rsidRPr="001E6128" w:rsidRDefault="001E6128" w:rsidP="001E6128">
            <w:pPr>
              <w:rPr>
                <w:b/>
              </w:rPr>
            </w:pPr>
            <w:r w:rsidRPr="001E6128">
              <w:rPr>
                <w:b/>
              </w:rPr>
              <w:t>Wijziging van de Woningwet, de Wet algemene bepalingen omgevingsrecht en het Burgerlijk Wetboek in verband met de invoering van een nieuw stelsel van kwaliteitsborging voor het bouwen en de versterking van de positie van de bouwconsument (Wet kwaliteitsborging voor het bouwen)</w:t>
            </w:r>
          </w:p>
        </w:tc>
      </w:tr>
      <w:tr w:rsidR="003C21AC" w:rsidTr="00EA1C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977" w:type="dxa"/>
          </w:tcPr>
          <w:p w:rsidR="003C21AC" w:rsidRPr="00C035D4" w:rsidRDefault="003C21AC" w:rsidP="006E0971">
            <w:pPr>
              <w:pStyle w:val="Amendement"/>
              <w:tabs>
                <w:tab w:val="clear" w:pos="3310"/>
                <w:tab w:val="clear" w:pos="3600"/>
              </w:tabs>
              <w:rPr>
                <w:rFonts w:ascii="Times New Roman" w:hAnsi="Times New Roman"/>
              </w:rPr>
            </w:pPr>
          </w:p>
        </w:tc>
        <w:tc>
          <w:tcPr>
            <w:tcW w:w="7371" w:type="dxa"/>
            <w:gridSpan w:val="2"/>
          </w:tcPr>
          <w:p w:rsidR="003C21AC" w:rsidRPr="00C035D4" w:rsidRDefault="003C21AC" w:rsidP="006E0971">
            <w:pPr>
              <w:pStyle w:val="Amendement"/>
              <w:tabs>
                <w:tab w:val="clear" w:pos="3310"/>
                <w:tab w:val="clear" w:pos="3600"/>
              </w:tabs>
              <w:ind w:left="-70"/>
              <w:rPr>
                <w:rFonts w:ascii="Times New Roman" w:hAnsi="Times New Roman"/>
              </w:rPr>
            </w:pPr>
          </w:p>
        </w:tc>
      </w:tr>
      <w:tr w:rsidR="003C21AC" w:rsidTr="00EA1C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977" w:type="dxa"/>
          </w:tcPr>
          <w:p w:rsidR="003C21AC" w:rsidRPr="00C035D4" w:rsidRDefault="003C21AC" w:rsidP="006E0971">
            <w:pPr>
              <w:pStyle w:val="Amendement"/>
              <w:tabs>
                <w:tab w:val="clear" w:pos="3310"/>
                <w:tab w:val="clear" w:pos="3600"/>
              </w:tabs>
              <w:rPr>
                <w:rFonts w:ascii="Times New Roman" w:hAnsi="Times New Roman"/>
              </w:rPr>
            </w:pPr>
          </w:p>
        </w:tc>
        <w:tc>
          <w:tcPr>
            <w:tcW w:w="7371" w:type="dxa"/>
            <w:gridSpan w:val="2"/>
          </w:tcPr>
          <w:p w:rsidR="003C21AC" w:rsidRPr="00C035D4" w:rsidRDefault="003C21AC" w:rsidP="006E0971">
            <w:pPr>
              <w:pStyle w:val="Amendement"/>
              <w:tabs>
                <w:tab w:val="clear" w:pos="3310"/>
                <w:tab w:val="clear" w:pos="3600"/>
              </w:tabs>
              <w:ind w:left="-70"/>
              <w:rPr>
                <w:rFonts w:ascii="Times New Roman" w:hAnsi="Times New Roman"/>
              </w:rPr>
            </w:pPr>
          </w:p>
        </w:tc>
      </w:tr>
      <w:tr w:rsidR="003C21AC" w:rsidTr="00EA1C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977" w:type="dxa"/>
          </w:tcPr>
          <w:p w:rsidR="003C21AC" w:rsidRPr="00C035D4" w:rsidRDefault="003C21AC" w:rsidP="001E6128">
            <w:pPr>
              <w:pStyle w:val="Amendement"/>
              <w:tabs>
                <w:tab w:val="clear" w:pos="3310"/>
                <w:tab w:val="clear" w:pos="3600"/>
              </w:tabs>
              <w:rPr>
                <w:rFonts w:ascii="Times New Roman" w:hAnsi="Times New Roman"/>
              </w:rPr>
            </w:pPr>
            <w:r w:rsidRPr="00C035D4">
              <w:rPr>
                <w:rFonts w:ascii="Times New Roman" w:hAnsi="Times New Roman"/>
              </w:rPr>
              <w:t xml:space="preserve">Nr. </w:t>
            </w:r>
            <w:r w:rsidR="005670FE">
              <w:rPr>
                <w:rFonts w:ascii="Times New Roman" w:hAnsi="Times New Roman"/>
                <w:caps/>
              </w:rPr>
              <w:t>17</w:t>
            </w:r>
          </w:p>
        </w:tc>
        <w:tc>
          <w:tcPr>
            <w:tcW w:w="7371" w:type="dxa"/>
            <w:gridSpan w:val="2"/>
          </w:tcPr>
          <w:p w:rsidR="003C21AC" w:rsidRPr="00C035D4" w:rsidRDefault="00B16263" w:rsidP="001E6128">
            <w:pPr>
              <w:pStyle w:val="Amendement"/>
              <w:tabs>
                <w:tab w:val="clear" w:pos="3310"/>
                <w:tab w:val="clear" w:pos="3600"/>
              </w:tabs>
              <w:ind w:left="-70"/>
              <w:rPr>
                <w:rFonts w:ascii="Times New Roman" w:hAnsi="Times New Roman"/>
                <w:caps/>
              </w:rPr>
            </w:pPr>
            <w:r>
              <w:rPr>
                <w:rFonts w:ascii="Times New Roman" w:hAnsi="Times New Roman"/>
                <w:caps/>
              </w:rPr>
              <w:t xml:space="preserve">gewijzigd </w:t>
            </w:r>
            <w:r w:rsidR="003C21AC" w:rsidRPr="00C035D4">
              <w:rPr>
                <w:rFonts w:ascii="Times New Roman" w:hAnsi="Times New Roman"/>
                <w:caps/>
              </w:rPr>
              <w:t xml:space="preserve">AMENDEMENT VAN HET LID </w:t>
            </w:r>
            <w:r w:rsidR="001E6128">
              <w:rPr>
                <w:rFonts w:ascii="Times New Roman" w:hAnsi="Times New Roman"/>
                <w:caps/>
              </w:rPr>
              <w:t>albert de vries</w:t>
            </w:r>
            <w:r>
              <w:rPr>
                <w:rFonts w:ascii="Times New Roman" w:hAnsi="Times New Roman"/>
                <w:caps/>
              </w:rPr>
              <w:t xml:space="preserve"> ter vervanging van dat nr. 14</w:t>
            </w:r>
          </w:p>
        </w:tc>
      </w:tr>
      <w:tr w:rsidR="003C21AC" w:rsidTr="00EA1C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977" w:type="dxa"/>
          </w:tcPr>
          <w:p w:rsidR="003C21AC" w:rsidRDefault="003C21AC" w:rsidP="006E0971">
            <w:pPr>
              <w:pStyle w:val="Amendement"/>
              <w:tabs>
                <w:tab w:val="clear" w:pos="3310"/>
                <w:tab w:val="clear" w:pos="3600"/>
              </w:tabs>
              <w:rPr>
                <w:rFonts w:ascii="Times New Roman" w:hAnsi="Times New Roman"/>
              </w:rPr>
            </w:pPr>
          </w:p>
        </w:tc>
        <w:tc>
          <w:tcPr>
            <w:tcW w:w="7371" w:type="dxa"/>
            <w:gridSpan w:val="2"/>
          </w:tcPr>
          <w:p w:rsidR="003C21AC" w:rsidRDefault="003C21AC" w:rsidP="00B16263">
            <w:pPr>
              <w:pStyle w:val="Amendement"/>
              <w:tabs>
                <w:tab w:val="clear" w:pos="3310"/>
                <w:tab w:val="clear" w:pos="3600"/>
              </w:tabs>
              <w:ind w:left="-70"/>
              <w:rPr>
                <w:rFonts w:ascii="Times New Roman" w:hAnsi="Times New Roman"/>
              </w:rPr>
            </w:pPr>
            <w:r>
              <w:rPr>
                <w:rFonts w:ascii="Times New Roman" w:hAnsi="Times New Roman"/>
                <w:b w:val="0"/>
              </w:rPr>
              <w:t xml:space="preserve">Ontvangen </w:t>
            </w:r>
            <w:r w:rsidR="005670FE">
              <w:rPr>
                <w:rFonts w:ascii="Times New Roman" w:hAnsi="Times New Roman"/>
                <w:b w:val="0"/>
              </w:rPr>
              <w:t>14 februari 2017</w:t>
            </w:r>
          </w:p>
        </w:tc>
      </w:tr>
      <w:tr w:rsidR="00B01BA6" w:rsidTr="00EA1C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977" w:type="dxa"/>
          </w:tcPr>
          <w:p w:rsidR="00B01BA6" w:rsidRDefault="00B01BA6" w:rsidP="006E0971">
            <w:pPr>
              <w:pStyle w:val="Amendement"/>
              <w:tabs>
                <w:tab w:val="clear" w:pos="3310"/>
                <w:tab w:val="clear" w:pos="3600"/>
              </w:tabs>
              <w:rPr>
                <w:rFonts w:ascii="Times New Roman" w:hAnsi="Times New Roman"/>
              </w:rPr>
            </w:pPr>
          </w:p>
        </w:tc>
        <w:tc>
          <w:tcPr>
            <w:tcW w:w="7371" w:type="dxa"/>
            <w:gridSpan w:val="2"/>
          </w:tcPr>
          <w:p w:rsidR="00B01BA6" w:rsidRDefault="00B01BA6" w:rsidP="006E0971">
            <w:pPr>
              <w:pStyle w:val="Amendement"/>
              <w:tabs>
                <w:tab w:val="clear" w:pos="3310"/>
                <w:tab w:val="clear" w:pos="3600"/>
              </w:tabs>
              <w:ind w:left="-70"/>
              <w:rPr>
                <w:rFonts w:ascii="Times New Roman" w:hAnsi="Times New Roman"/>
                <w:b w:val="0"/>
              </w:rPr>
            </w:pPr>
          </w:p>
        </w:tc>
      </w:tr>
      <w:tr w:rsidR="00B01BA6" w:rsidRPr="00EA69AC" w:rsidTr="00EA1C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348" w:type="dxa"/>
            <w:gridSpan w:val="3"/>
          </w:tcPr>
          <w:p w:rsidR="00B01BA6" w:rsidRPr="00EA69AC" w:rsidRDefault="00B01BA6" w:rsidP="0088452C">
            <w:pPr>
              <w:ind w:firstLine="284"/>
            </w:pPr>
            <w:r w:rsidRPr="00EA69AC">
              <w:t>De ondergetekende stelt het volgende amendement voor:</w:t>
            </w:r>
          </w:p>
        </w:tc>
      </w:tr>
    </w:tbl>
    <w:p w:rsidR="009E0C90" w:rsidRPr="009E0C90" w:rsidRDefault="009E0C90" w:rsidP="009E0C90">
      <w:pPr>
        <w:rPr>
          <w:szCs w:val="24"/>
        </w:rPr>
      </w:pPr>
    </w:p>
    <w:p w:rsidR="00FB2EF9" w:rsidRPr="00FB2EF9" w:rsidRDefault="00FB2EF9" w:rsidP="00FB2EF9">
      <w:pPr>
        <w:rPr>
          <w:szCs w:val="24"/>
          <w:lang w:eastAsia="en-US"/>
        </w:rPr>
      </w:pPr>
      <w:r w:rsidRPr="00FB2EF9">
        <w:rPr>
          <w:szCs w:val="24"/>
          <w:lang w:eastAsia="en-US"/>
        </w:rPr>
        <w:t>I</w:t>
      </w:r>
    </w:p>
    <w:p w:rsidR="00FB2EF9" w:rsidRPr="00FB2EF9" w:rsidRDefault="00FB2EF9" w:rsidP="00FB2EF9">
      <w:pPr>
        <w:rPr>
          <w:szCs w:val="24"/>
          <w:lang w:eastAsia="en-US"/>
        </w:rPr>
      </w:pPr>
    </w:p>
    <w:p w:rsidR="00FB2EF9" w:rsidRPr="00FB2EF9" w:rsidRDefault="00FB2EF9" w:rsidP="00FB2EF9">
      <w:pPr>
        <w:ind w:firstLine="284"/>
        <w:rPr>
          <w:szCs w:val="24"/>
          <w:lang w:eastAsia="en-US"/>
        </w:rPr>
      </w:pPr>
      <w:r w:rsidRPr="00FB2EF9">
        <w:rPr>
          <w:szCs w:val="24"/>
          <w:lang w:eastAsia="en-US"/>
        </w:rPr>
        <w:t>In artikel I, onderdeel A, wordt aan artikel 7</w:t>
      </w:r>
      <w:proofErr w:type="gramStart"/>
      <w:r w:rsidRPr="00FB2EF9">
        <w:rPr>
          <w:szCs w:val="24"/>
          <w:lang w:eastAsia="en-US"/>
        </w:rPr>
        <w:t>ab</w:t>
      </w:r>
      <w:proofErr w:type="gramEnd"/>
      <w:r w:rsidRPr="00FB2EF9">
        <w:rPr>
          <w:szCs w:val="24"/>
          <w:lang w:eastAsia="en-US"/>
        </w:rPr>
        <w:t xml:space="preserve"> een lid toegevoegd, luidende:</w:t>
      </w:r>
    </w:p>
    <w:p w:rsidR="00FB2EF9" w:rsidRPr="00FB2EF9" w:rsidRDefault="00FB2EF9" w:rsidP="00FB2EF9">
      <w:pPr>
        <w:rPr>
          <w:szCs w:val="24"/>
          <w:lang w:eastAsia="en-US"/>
        </w:rPr>
      </w:pPr>
      <w:r w:rsidRPr="00FB2EF9">
        <w:rPr>
          <w:szCs w:val="24"/>
          <w:lang w:eastAsia="en-US"/>
        </w:rPr>
        <w:t xml:space="preserve"> </w:t>
      </w:r>
      <w:r>
        <w:rPr>
          <w:szCs w:val="24"/>
          <w:lang w:eastAsia="en-US"/>
        </w:rPr>
        <w:tab/>
      </w:r>
      <w:r w:rsidRPr="00FB2EF9">
        <w:rPr>
          <w:szCs w:val="24"/>
          <w:lang w:eastAsia="en-US"/>
        </w:rPr>
        <w:t xml:space="preserve">4. Onverminderd artikel 2, worden bij of </w:t>
      </w:r>
      <w:proofErr w:type="gramStart"/>
      <w:r w:rsidRPr="00FB2EF9">
        <w:rPr>
          <w:szCs w:val="24"/>
          <w:lang w:eastAsia="en-US"/>
        </w:rPr>
        <w:t>krachtens</w:t>
      </w:r>
      <w:proofErr w:type="gramEnd"/>
      <w:r w:rsidRPr="00FB2EF9">
        <w:rPr>
          <w:szCs w:val="24"/>
          <w:lang w:eastAsia="en-US"/>
        </w:rPr>
        <w:t xml:space="preserve"> de algemene maatregel van bestuur, bedoeld in het eerste lid, regels gesteld met betrekking tot het in gebruik nemen van bouwwerken als bedoeld in het eerste lid. Tot die regels behoort in ieder geval de verplichting om voor het in gebruik nemen van het bouwwerk aan het bevoegd gezag een dossier te overleggen dat inzicht geeft of het gerealiseerde bouwwerk voldoet aan de voorschriften die zijn gesteld bij of </w:t>
      </w:r>
      <w:proofErr w:type="gramStart"/>
      <w:r w:rsidRPr="00FB2EF9">
        <w:rPr>
          <w:szCs w:val="24"/>
          <w:lang w:eastAsia="en-US"/>
        </w:rPr>
        <w:t>krachtens</w:t>
      </w:r>
      <w:proofErr w:type="gramEnd"/>
      <w:r w:rsidRPr="00FB2EF9">
        <w:rPr>
          <w:szCs w:val="24"/>
          <w:lang w:eastAsia="en-US"/>
        </w:rPr>
        <w:t xml:space="preserve"> een algemene maatregel van bestuur als bedoeld in artikel 2, eerste lid, aanhef en onder a, en vierde lid, of artikel 120.</w:t>
      </w:r>
    </w:p>
    <w:p w:rsidR="00FB2EF9" w:rsidRPr="00FB2EF9" w:rsidRDefault="00FB2EF9" w:rsidP="00FB2EF9">
      <w:pPr>
        <w:rPr>
          <w:szCs w:val="24"/>
          <w:lang w:eastAsia="en-US"/>
        </w:rPr>
      </w:pPr>
    </w:p>
    <w:p w:rsidR="00FB2EF9" w:rsidRPr="00FB2EF9" w:rsidRDefault="00FB2EF9" w:rsidP="00FB2EF9">
      <w:pPr>
        <w:rPr>
          <w:szCs w:val="24"/>
          <w:lang w:eastAsia="en-US"/>
        </w:rPr>
      </w:pPr>
      <w:r w:rsidRPr="00FB2EF9">
        <w:rPr>
          <w:szCs w:val="24"/>
          <w:lang w:eastAsia="en-US"/>
        </w:rPr>
        <w:t>II</w:t>
      </w:r>
    </w:p>
    <w:p w:rsidR="00FB2EF9" w:rsidRPr="00FB2EF9" w:rsidRDefault="00FB2EF9" w:rsidP="00FB2EF9">
      <w:pPr>
        <w:rPr>
          <w:szCs w:val="24"/>
          <w:lang w:eastAsia="en-US"/>
        </w:rPr>
      </w:pPr>
    </w:p>
    <w:p w:rsidR="00FB2EF9" w:rsidRPr="00FB2EF9" w:rsidRDefault="00FB2EF9" w:rsidP="00FB2EF9">
      <w:pPr>
        <w:ind w:firstLine="284"/>
        <w:rPr>
          <w:szCs w:val="24"/>
          <w:lang w:eastAsia="en-US"/>
        </w:rPr>
      </w:pPr>
      <w:r w:rsidRPr="00FB2EF9">
        <w:rPr>
          <w:szCs w:val="24"/>
          <w:lang w:eastAsia="en-US"/>
        </w:rPr>
        <w:t xml:space="preserve">In artikel III wordt na </w:t>
      </w:r>
      <w:r w:rsidR="000C0064">
        <w:rPr>
          <w:szCs w:val="24"/>
          <w:lang w:eastAsia="en-US"/>
        </w:rPr>
        <w:t>de aanhef</w:t>
      </w:r>
      <w:r w:rsidRPr="00FB2EF9">
        <w:rPr>
          <w:szCs w:val="24"/>
          <w:lang w:eastAsia="en-US"/>
        </w:rPr>
        <w:t xml:space="preserve"> een onderdeel ingevoegd, luidende:</w:t>
      </w:r>
    </w:p>
    <w:p w:rsidR="00FB2EF9" w:rsidRPr="00FB2EF9" w:rsidRDefault="00FB2EF9" w:rsidP="00FB2EF9">
      <w:pPr>
        <w:rPr>
          <w:szCs w:val="24"/>
          <w:lang w:eastAsia="en-US"/>
        </w:rPr>
      </w:pPr>
    </w:p>
    <w:p w:rsidR="00C47597" w:rsidRPr="008C1231" w:rsidRDefault="000C0064" w:rsidP="00FB2EF9">
      <w:pPr>
        <w:rPr>
          <w:szCs w:val="24"/>
        </w:rPr>
      </w:pPr>
      <w:r>
        <w:rPr>
          <w:szCs w:val="24"/>
          <w:lang w:eastAsia="en-US"/>
        </w:rPr>
        <w:t>0</w:t>
      </w:r>
      <w:r w:rsidR="00FB2EF9" w:rsidRPr="00FB2EF9">
        <w:rPr>
          <w:szCs w:val="24"/>
          <w:lang w:eastAsia="en-US"/>
        </w:rPr>
        <w:t>A</w:t>
      </w:r>
    </w:p>
    <w:p w:rsidR="009E0C90" w:rsidRPr="000C0064" w:rsidRDefault="009E0C90" w:rsidP="009E0C90">
      <w:pPr>
        <w:rPr>
          <w:szCs w:val="24"/>
        </w:rPr>
      </w:pPr>
    </w:p>
    <w:p w:rsidR="00FB2EF9" w:rsidRPr="000C0064" w:rsidRDefault="00FB2EF9" w:rsidP="00FB2EF9">
      <w:pPr>
        <w:ind w:firstLine="284"/>
        <w:rPr>
          <w:szCs w:val="24"/>
        </w:rPr>
      </w:pPr>
      <w:r w:rsidRPr="000C0064">
        <w:rPr>
          <w:szCs w:val="24"/>
        </w:rPr>
        <w:t xml:space="preserve">Na artikel 757 wordt een artikel ingevoegd, luidende: </w:t>
      </w:r>
    </w:p>
    <w:p w:rsidR="00FB2EF9" w:rsidRPr="00FB2EF9" w:rsidRDefault="00FB2EF9" w:rsidP="00FB2EF9">
      <w:pPr>
        <w:rPr>
          <w:b/>
          <w:szCs w:val="24"/>
        </w:rPr>
      </w:pPr>
    </w:p>
    <w:p w:rsidR="00FB2EF9" w:rsidRPr="00FB2EF9" w:rsidRDefault="00FB2EF9" w:rsidP="00FB2EF9">
      <w:pPr>
        <w:rPr>
          <w:b/>
          <w:szCs w:val="24"/>
        </w:rPr>
      </w:pPr>
      <w:r w:rsidRPr="00FB2EF9">
        <w:rPr>
          <w:b/>
          <w:szCs w:val="24"/>
        </w:rPr>
        <w:t>Artikel 757a</w:t>
      </w:r>
    </w:p>
    <w:p w:rsidR="00FB2EF9" w:rsidRPr="00FB2EF9" w:rsidRDefault="00FB2EF9" w:rsidP="00FB2EF9">
      <w:pPr>
        <w:rPr>
          <w:b/>
          <w:szCs w:val="24"/>
        </w:rPr>
      </w:pPr>
    </w:p>
    <w:p w:rsidR="00FB2EF9" w:rsidRPr="00FB2EF9" w:rsidRDefault="00FB2EF9" w:rsidP="00FB2EF9">
      <w:pPr>
        <w:ind w:firstLine="284"/>
        <w:rPr>
          <w:szCs w:val="24"/>
        </w:rPr>
      </w:pPr>
      <w:r w:rsidRPr="00FB2EF9">
        <w:rPr>
          <w:szCs w:val="24"/>
        </w:rPr>
        <w:t xml:space="preserve">In geval van aanneming van een bouwwerk legt de aannemer bij de kennisgeving dat het werk klaar is om te worden opgeleverd, bedoeld in artikel 758 lid 1, een dossier aan de opdrachtgever over met betrekking tot het tot stand gebrachte bouwwerk. Het dossier bevat gegevens en </w:t>
      </w:r>
      <w:proofErr w:type="gramStart"/>
      <w:r w:rsidRPr="00FB2EF9">
        <w:rPr>
          <w:szCs w:val="24"/>
        </w:rPr>
        <w:t>bescheiden</w:t>
      </w:r>
      <w:proofErr w:type="gramEnd"/>
      <w:r w:rsidRPr="00FB2EF9">
        <w:rPr>
          <w:szCs w:val="24"/>
        </w:rPr>
        <w:t xml:space="preserve"> die volledig </w:t>
      </w:r>
      <w:proofErr w:type="gramStart"/>
      <w:r w:rsidRPr="00FB2EF9">
        <w:rPr>
          <w:szCs w:val="24"/>
        </w:rPr>
        <w:t>inzicht</w:t>
      </w:r>
      <w:proofErr w:type="gramEnd"/>
      <w:r w:rsidRPr="00FB2EF9">
        <w:rPr>
          <w:szCs w:val="24"/>
        </w:rPr>
        <w:t xml:space="preserve"> geven in de nakoming van de overeenkomst door de aannemer en de te dien aanzien uitgevoerde werkzaamheden en bevat in ieder geval: </w:t>
      </w:r>
    </w:p>
    <w:p w:rsidR="00FB2EF9" w:rsidRPr="00FB2EF9" w:rsidRDefault="00FB2EF9" w:rsidP="00FB2EF9">
      <w:pPr>
        <w:ind w:firstLine="284"/>
        <w:rPr>
          <w:szCs w:val="24"/>
        </w:rPr>
      </w:pPr>
      <w:proofErr w:type="gramStart"/>
      <w:r w:rsidRPr="00FB2EF9">
        <w:rPr>
          <w:szCs w:val="24"/>
        </w:rPr>
        <w:t>a</w:t>
      </w:r>
      <w:proofErr w:type="gramEnd"/>
      <w:r w:rsidRPr="00FB2EF9">
        <w:rPr>
          <w:szCs w:val="24"/>
        </w:rPr>
        <w:t>.</w:t>
      </w:r>
      <w:r w:rsidRPr="00FB2EF9">
        <w:rPr>
          <w:szCs w:val="24"/>
        </w:rPr>
        <w:tab/>
      </w:r>
      <w:proofErr w:type="gramStart"/>
      <w:r w:rsidR="00664537">
        <w:rPr>
          <w:szCs w:val="24"/>
        </w:rPr>
        <w:t>t</w:t>
      </w:r>
      <w:r w:rsidRPr="00FB2EF9">
        <w:rPr>
          <w:szCs w:val="24"/>
        </w:rPr>
        <w:t>ekeningen</w:t>
      </w:r>
      <w:proofErr w:type="gramEnd"/>
      <w:r w:rsidRPr="00FB2EF9">
        <w:rPr>
          <w:szCs w:val="24"/>
        </w:rPr>
        <w:t xml:space="preserve"> en berekeningen betreffende het tot stand gebrachte bouwwerk en de bijbehorende installaties, en een beschrijving van de toegepaste materialen en installaties, alsmede de gebruiksfuncties van het bouwwerk; </w:t>
      </w:r>
    </w:p>
    <w:p w:rsidR="00FB2EF9" w:rsidRPr="00FB2EF9" w:rsidRDefault="00FB2EF9" w:rsidP="00FB2EF9">
      <w:pPr>
        <w:ind w:firstLine="284"/>
        <w:rPr>
          <w:szCs w:val="24"/>
        </w:rPr>
      </w:pPr>
      <w:r w:rsidRPr="00FB2EF9">
        <w:rPr>
          <w:szCs w:val="24"/>
        </w:rPr>
        <w:t>b.</w:t>
      </w:r>
      <w:r w:rsidRPr="00FB2EF9">
        <w:rPr>
          <w:szCs w:val="24"/>
        </w:rPr>
        <w:tab/>
      </w:r>
      <w:proofErr w:type="gramStart"/>
      <w:r w:rsidRPr="00FB2EF9">
        <w:rPr>
          <w:szCs w:val="24"/>
        </w:rPr>
        <w:t>gegevens</w:t>
      </w:r>
      <w:proofErr w:type="gramEnd"/>
      <w:r w:rsidRPr="00FB2EF9">
        <w:rPr>
          <w:szCs w:val="24"/>
        </w:rPr>
        <w:t xml:space="preserve"> en bescheiden die nodig zijn voor gebruik en onderhoud van het bouwwerk.</w:t>
      </w:r>
    </w:p>
    <w:p w:rsidR="00FB2EF9" w:rsidRPr="009E0C90" w:rsidRDefault="00FB2EF9" w:rsidP="009E0C90">
      <w:pPr>
        <w:rPr>
          <w:b/>
          <w:szCs w:val="24"/>
        </w:rPr>
      </w:pPr>
    </w:p>
    <w:p w:rsidR="009E0C90" w:rsidRPr="009E0C90" w:rsidRDefault="009E0C90" w:rsidP="009E0C90">
      <w:pPr>
        <w:rPr>
          <w:b/>
        </w:rPr>
      </w:pPr>
      <w:r w:rsidRPr="009E0C90">
        <w:rPr>
          <w:b/>
        </w:rPr>
        <w:t>Toelichting</w:t>
      </w:r>
    </w:p>
    <w:p w:rsidR="00C47597" w:rsidRPr="00C47597" w:rsidRDefault="00C47597" w:rsidP="00C47597"/>
    <w:p w:rsidR="00FB2EF9" w:rsidRPr="00FB2EF9" w:rsidRDefault="00FB2EF9" w:rsidP="00FB2EF9">
      <w:r w:rsidRPr="00FB2EF9">
        <w:t>Dit amendement regelt twee zaken:</w:t>
      </w:r>
    </w:p>
    <w:p w:rsidR="00FB2EF9" w:rsidRPr="00FB2EF9" w:rsidRDefault="00FB2EF9" w:rsidP="00FB2EF9">
      <w:r w:rsidRPr="00FB2EF9">
        <w:lastRenderedPageBreak/>
        <w:t>1 de introductie van een consumentendossier (hier overdrachtsdossier genoemd)</w:t>
      </w:r>
    </w:p>
    <w:p w:rsidR="00FB2EF9" w:rsidRPr="00FB2EF9" w:rsidRDefault="00FB2EF9" w:rsidP="00FB2EF9">
      <w:r w:rsidRPr="00FB2EF9">
        <w:t xml:space="preserve">2 het stellen van regels aan de </w:t>
      </w:r>
      <w:proofErr w:type="spellStart"/>
      <w:r w:rsidRPr="00FB2EF9">
        <w:t>gereedmelding</w:t>
      </w:r>
      <w:proofErr w:type="spellEnd"/>
      <w:r w:rsidRPr="00FB2EF9">
        <w:t xml:space="preserve"> bij het bevoegd gezag</w:t>
      </w:r>
    </w:p>
    <w:p w:rsidR="00FB2EF9" w:rsidRPr="00FB2EF9" w:rsidRDefault="00FB2EF9" w:rsidP="00FB2EF9"/>
    <w:p w:rsidR="00FB2EF9" w:rsidRPr="00FB2EF9" w:rsidRDefault="00FB2EF9" w:rsidP="00FB2EF9">
      <w:r w:rsidRPr="00FB2EF9">
        <w:t>1</w:t>
      </w:r>
    </w:p>
    <w:p w:rsidR="00FB2EF9" w:rsidRPr="00FB2EF9" w:rsidRDefault="00FB2EF9" w:rsidP="00FB2EF9">
      <w:r w:rsidRPr="00FB2EF9">
        <w:t>Dit amendement regelt dat de aannemer voorafgaand aan de oplevering aan de opdrachtgever een overdrachtsdossier ter beschikking stelt;</w:t>
      </w:r>
    </w:p>
    <w:p w:rsidR="00FB2EF9" w:rsidRPr="00FB2EF9" w:rsidRDefault="00FB2EF9" w:rsidP="00FB2EF9">
      <w:r w:rsidRPr="00FB2EF9">
        <w:t>Het dossier kent twee delen:</w:t>
      </w:r>
    </w:p>
    <w:p w:rsidR="00FB2EF9" w:rsidRPr="00FB2EF9" w:rsidRDefault="005C0ACD" w:rsidP="00FB2EF9">
      <w:pPr>
        <w:numPr>
          <w:ilvl w:val="0"/>
          <w:numId w:val="4"/>
        </w:numPr>
      </w:pPr>
      <w:r>
        <w:t>Een consumenten</w:t>
      </w:r>
      <w:r w:rsidR="00FB2EF9" w:rsidRPr="00FB2EF9">
        <w:t>deel met private afspraken waa</w:t>
      </w:r>
      <w:r w:rsidR="00FB2EF9" w:rsidRPr="00FB2EF9">
        <w:rPr>
          <w:b/>
        </w:rPr>
        <w:t>r</w:t>
      </w:r>
      <w:r w:rsidR="00FB2EF9" w:rsidRPr="00FB2EF9">
        <w:t>in de aannemer verklaart en aantoont dat hij het bouwwerk volgens regels van goed en deugdelijk werk heeft gemaakt en dat hij de in de aannemingsovereenkomst vastgelegde afspraken is nagekomen. Daarbij voegt de aannemer de garantiebepalingen en de aanwijzingen voor gebruik en onderhoud;</w:t>
      </w:r>
    </w:p>
    <w:p w:rsidR="00FB2EF9" w:rsidRPr="00FB2EF9" w:rsidRDefault="005C0ACD" w:rsidP="00FB2EF9">
      <w:pPr>
        <w:numPr>
          <w:ilvl w:val="0"/>
          <w:numId w:val="4"/>
        </w:numPr>
      </w:pPr>
      <w:r>
        <w:t>Een opleverings</w:t>
      </w:r>
      <w:r w:rsidR="00FB2EF9" w:rsidRPr="00FB2EF9">
        <w:t>deel waarin de aannemer verklaart en aantoont dat hij aan de wettelijke regels en prestatie-eisen heeft voldaan (het deel met publieke verplichtingen)</w:t>
      </w:r>
    </w:p>
    <w:p w:rsidR="00FB2EF9" w:rsidRPr="00FB2EF9" w:rsidRDefault="00FB2EF9" w:rsidP="00FB2EF9">
      <w:bookmarkStart w:id="0" w:name="_GoBack"/>
      <w:bookmarkEnd w:id="0"/>
    </w:p>
    <w:p w:rsidR="00FB2EF9" w:rsidRPr="00FB2EF9" w:rsidRDefault="00FB2EF9" w:rsidP="00FB2EF9">
      <w:r w:rsidRPr="00FB2EF9">
        <w:t xml:space="preserve">Omdat het dossier voor de uitoefening van de garantie van de aannemer van belang is ligt het voor de hand dat het dossier gedurende de garantietermijn bij verkoop overgedragen wordt aan opvolgende eigenaren. </w:t>
      </w:r>
    </w:p>
    <w:p w:rsidR="00FB2EF9" w:rsidRPr="00FB2EF9" w:rsidRDefault="00FB2EF9" w:rsidP="00FB2EF9">
      <w:r w:rsidRPr="00FB2EF9">
        <w:t xml:space="preserve">De introductie van een consumentendossier is een reeks lang gekoesterde wens bij consumentenorganisaties. En ook vele marktpartijen die inmiddels ver gevorderd zijn met hun kwaliteitszorg </w:t>
      </w:r>
      <w:proofErr w:type="gramStart"/>
      <w:r w:rsidRPr="00FB2EF9">
        <w:t>zijn</w:t>
      </w:r>
      <w:proofErr w:type="gramEnd"/>
      <w:r w:rsidRPr="00FB2EF9">
        <w:t xml:space="preserve"> er voorstander van. Er wordt door marktpartijen al gewerkt aan een dergelijk dossier ten behoeve van de opdrachtgevers van bouwwerken. </w:t>
      </w:r>
    </w:p>
    <w:p w:rsidR="00FB2EF9" w:rsidRPr="00FB2EF9" w:rsidRDefault="00FB2EF9" w:rsidP="00FB2EF9"/>
    <w:p w:rsidR="00FB2EF9" w:rsidRPr="00FB2EF9" w:rsidRDefault="00FB2EF9" w:rsidP="00FB2EF9">
      <w:r w:rsidRPr="00FB2EF9">
        <w:t>2</w:t>
      </w:r>
    </w:p>
    <w:p w:rsidR="00FB2EF9" w:rsidRPr="00FB2EF9" w:rsidRDefault="00FB2EF9" w:rsidP="00FB2EF9">
      <w:r w:rsidRPr="00FB2EF9">
        <w:t xml:space="preserve">Dit amendement stelt voorts regels aan de </w:t>
      </w:r>
      <w:proofErr w:type="spellStart"/>
      <w:r w:rsidRPr="00FB2EF9">
        <w:t>gereedmelding</w:t>
      </w:r>
      <w:proofErr w:type="spellEnd"/>
      <w:r w:rsidRPr="00FB2EF9">
        <w:t xml:space="preserve"> bij het bevoegd gezag.</w:t>
      </w:r>
    </w:p>
    <w:p w:rsidR="00FB2EF9" w:rsidRPr="00FB2EF9" w:rsidRDefault="00FB2EF9" w:rsidP="00FB2EF9">
      <w:pPr>
        <w:rPr>
          <w:b/>
          <w:bCs/>
        </w:rPr>
      </w:pPr>
      <w:r w:rsidRPr="00FB2EF9">
        <w:t xml:space="preserve">In artikel 2 is geregeld dat bij algemene maatregel van bestuur (AMVB) voorschriften worden gegeven over het in gebruik nemen van het bouwwerk en dat tot die voorschriften in ieder geval </w:t>
      </w:r>
      <w:r>
        <w:t>behoren:</w:t>
      </w:r>
    </w:p>
    <w:p w:rsidR="00FB2EF9" w:rsidRPr="00FB2EF9" w:rsidRDefault="00FB2EF9" w:rsidP="00FB2EF9">
      <w:pPr>
        <w:rPr>
          <w:b/>
          <w:bCs/>
        </w:rPr>
      </w:pPr>
      <w:proofErr w:type="gramStart"/>
      <w:r w:rsidRPr="00FB2EF9">
        <w:t>voorschriften</w:t>
      </w:r>
      <w:proofErr w:type="gramEnd"/>
      <w:r w:rsidRPr="00FB2EF9">
        <w:t xml:space="preserve"> inhoudende een verbod tot ingebruikneming of gebruik zonder het doen van een gebruiksmelding aan het bevoegd gezag. Dit amendement voorziet in de grondslag voor het stellen van aanvullende regels aan die melding voor bouwwerken die onder het stelsel van kwaliteitsborging vallen.</w:t>
      </w:r>
    </w:p>
    <w:p w:rsidR="00FB2EF9" w:rsidRPr="00FB2EF9" w:rsidRDefault="00FB2EF9" w:rsidP="00FB2EF9">
      <w:r w:rsidRPr="00FB2EF9">
        <w:t xml:space="preserve">Op basis van deze grondslag worden er in het Bouwbesluit regels gesteld over de </w:t>
      </w:r>
      <w:proofErr w:type="spellStart"/>
      <w:r w:rsidRPr="00FB2EF9">
        <w:t>gereedmelding</w:t>
      </w:r>
      <w:proofErr w:type="spellEnd"/>
      <w:r w:rsidRPr="00FB2EF9">
        <w:t xml:space="preserve"> en het daarbij te voegen dossier en de bevoegdheid van het bevoegd </w:t>
      </w:r>
      <w:proofErr w:type="gramStart"/>
      <w:r w:rsidRPr="00FB2EF9">
        <w:t xml:space="preserve">gezag  </w:t>
      </w:r>
      <w:proofErr w:type="gramEnd"/>
      <w:r w:rsidRPr="00FB2EF9">
        <w:t xml:space="preserve">binnen 10 werkdagen na ontvangst van de melding te beslissen dat het bouwwerk niet in gebruik mag worden genomen, bijvoorbeeld omdat het dossier niet volledig is of omdat middels het dossier onvoldoende aannemelijk is gemaakt dat aan de wettelijke regels en prestatie-eisen is voldaan. </w:t>
      </w:r>
    </w:p>
    <w:p w:rsidR="00FB2EF9" w:rsidRPr="00FB2EF9" w:rsidRDefault="00FB2EF9" w:rsidP="00FB2EF9">
      <w:r w:rsidRPr="00FB2EF9">
        <w:t xml:space="preserve">In het Bouwbesluit 2012 zullen nadere regels </w:t>
      </w:r>
      <w:proofErr w:type="gramStart"/>
      <w:r w:rsidRPr="00FB2EF9">
        <w:t>omtrent</w:t>
      </w:r>
      <w:proofErr w:type="gramEnd"/>
      <w:r w:rsidRPr="00FB2EF9">
        <w:t xml:space="preserve"> de inhoud van dit dossier worden opgenomen als mede nadere regels over de handhaving als het bouwwerk,  zonder de meldingsplicht in acht te nemen, in gebruik is genomen of in gevallen dat het bevoegd gezag heeft besloten dat het bouwwerk (nog) niet in gebruik genomen mag worden.</w:t>
      </w:r>
    </w:p>
    <w:p w:rsidR="00FB2EF9" w:rsidRPr="00FB2EF9" w:rsidRDefault="00FB2EF9" w:rsidP="00FB2EF9"/>
    <w:p w:rsidR="00FB2EF9" w:rsidRPr="00FB2EF9" w:rsidRDefault="00FB2EF9" w:rsidP="00FB2EF9">
      <w:r w:rsidRPr="00FB2EF9">
        <w:t>Om dubbel werk te voorkomen zou het opleveringsdeel van het in artikel 757a van het BW genoemde overdrachtsdossier, dat ziet op de publiek rechtelijke verplichtingen, zo kunnen worden ingericht dat het geschikt is om ook te dienen voor de verplichte melding aan de gemeente.</w:t>
      </w:r>
    </w:p>
    <w:p w:rsidR="00FB2EF9" w:rsidRPr="00FB2EF9" w:rsidRDefault="00FB2EF9" w:rsidP="00FB2EF9">
      <w:r w:rsidRPr="00FB2EF9">
        <w:t>Indien het bevoegd gezag tot de conclusie komt dat de aannemer in dat dossier (nog) niet (volledig) aannemelijk heeft gemaakt dat aan de wettelijke eisen is voldaan, dan kan de opdrachtgever, bij een verbod op ingebruikname of het aankondigen van een last onder dwangsom, als niet binnen bepaalde termijn bepaalde voorzieningen zijn getroffen, de aannemer aanspreken omdat deze verantwoordelijk is voor het overdrachtsdossier en de naleving van het contract.</w:t>
      </w:r>
    </w:p>
    <w:p w:rsidR="00FB2EF9" w:rsidRPr="00FB2EF9" w:rsidRDefault="00FB2EF9" w:rsidP="00FB2EF9"/>
    <w:p w:rsidR="00FB2EF9" w:rsidRPr="00FB2EF9" w:rsidRDefault="00FB2EF9" w:rsidP="00FB2EF9">
      <w:r w:rsidRPr="00FB2EF9">
        <w:t>Albert de Vries</w:t>
      </w:r>
    </w:p>
    <w:p w:rsidR="00B4708A" w:rsidRPr="00EA69AC" w:rsidRDefault="00B4708A" w:rsidP="00FB2EF9"/>
    <w:sectPr w:rsidR="00B4708A" w:rsidRPr="00EA69AC" w:rsidSect="00EA1CE4">
      <w:endnotePr>
        <w:numFmt w:val="decimal"/>
      </w:endnotePr>
      <w:pgSz w:w="11906" w:h="16838"/>
      <w:pgMar w:top="360" w:right="566" w:bottom="1417" w:left="993" w:header="360" w:footer="1440" w:gutter="0"/>
      <w:pgNumType w:start="1"/>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6128" w:rsidRDefault="001E6128">
      <w:pPr>
        <w:spacing w:line="20" w:lineRule="exact"/>
      </w:pPr>
    </w:p>
  </w:endnote>
  <w:endnote w:type="continuationSeparator" w:id="0">
    <w:p w:rsidR="001E6128" w:rsidRDefault="001E6128">
      <w:pPr>
        <w:pStyle w:val="Amendement"/>
      </w:pPr>
      <w:r>
        <w:rPr>
          <w:b w:val="0"/>
        </w:rPr>
        <w:t xml:space="preserve"> </w:t>
      </w:r>
    </w:p>
  </w:endnote>
  <w:endnote w:type="continuationNotice" w:id="1">
    <w:p w:rsidR="001E6128" w:rsidRDefault="001E6128">
      <w:pPr>
        <w:pStyle w:val="Amendement"/>
      </w:pPr>
      <w:r>
        <w:rPr>
          <w:b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DejaVu Sans">
    <w:altName w:val="Arial"/>
    <w:charset w:val="00"/>
    <w:family w:val="swiss"/>
    <w:pitch w:val="variable"/>
    <w:sig w:usb0="E7000EFF" w:usb1="5200FDFF" w:usb2="0A042021" w:usb3="00000000" w:csb0="000001BF" w:csb1="00000000"/>
  </w:font>
  <w:font w:name="Lohit Hindi">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6128" w:rsidRDefault="001E6128">
      <w:pPr>
        <w:pStyle w:val="Amendement"/>
      </w:pPr>
      <w:r>
        <w:rPr>
          <w:b w:val="0"/>
        </w:rPr>
        <w:separator/>
      </w:r>
    </w:p>
  </w:footnote>
  <w:footnote w:type="continuationSeparator" w:id="0">
    <w:p w:rsidR="001E6128" w:rsidRDefault="001E61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064B8"/>
    <w:multiLevelType w:val="hybridMultilevel"/>
    <w:tmpl w:val="DFA2CBD0"/>
    <w:lvl w:ilvl="0" w:tplc="A1748B56">
      <w:start w:val="6"/>
      <w:numFmt w:val="decimal"/>
      <w:lvlText w:val="%1."/>
      <w:lvlJc w:val="left"/>
      <w:pPr>
        <w:ind w:left="1065" w:hanging="360"/>
      </w:pPr>
      <w:rPr>
        <w:rFonts w:hint="default"/>
      </w:rPr>
    </w:lvl>
    <w:lvl w:ilvl="1" w:tplc="04130019" w:tentative="1">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1">
    <w:nsid w:val="1AE7461D"/>
    <w:multiLevelType w:val="hybridMultilevel"/>
    <w:tmpl w:val="8000FC46"/>
    <w:lvl w:ilvl="0" w:tplc="0413000F">
      <w:start w:val="1"/>
      <w:numFmt w:val="decimal"/>
      <w:lvlText w:val="%1."/>
      <w:lvlJc w:val="left"/>
      <w:pPr>
        <w:ind w:left="720" w:hanging="360"/>
      </w:p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2">
    <w:nsid w:val="5EC208DA"/>
    <w:multiLevelType w:val="hybridMultilevel"/>
    <w:tmpl w:val="08002E70"/>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633F39BB"/>
    <w:multiLevelType w:val="hybridMultilevel"/>
    <w:tmpl w:val="CEC281D6"/>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128"/>
    <w:rsid w:val="00057B5A"/>
    <w:rsid w:val="000C0064"/>
    <w:rsid w:val="000D17BF"/>
    <w:rsid w:val="000D36A5"/>
    <w:rsid w:val="000E4E5C"/>
    <w:rsid w:val="000F1AF7"/>
    <w:rsid w:val="001104FE"/>
    <w:rsid w:val="0014582B"/>
    <w:rsid w:val="0014618D"/>
    <w:rsid w:val="00157CAF"/>
    <w:rsid w:val="001656EE"/>
    <w:rsid w:val="0016653D"/>
    <w:rsid w:val="001E0E21"/>
    <w:rsid w:val="001E6128"/>
    <w:rsid w:val="00212F52"/>
    <w:rsid w:val="002153B0"/>
    <w:rsid w:val="0021777F"/>
    <w:rsid w:val="00241DD0"/>
    <w:rsid w:val="00273684"/>
    <w:rsid w:val="00295AA7"/>
    <w:rsid w:val="002A0713"/>
    <w:rsid w:val="003060D2"/>
    <w:rsid w:val="00331D1A"/>
    <w:rsid w:val="003C21AC"/>
    <w:rsid w:val="003C4F0C"/>
    <w:rsid w:val="003C5218"/>
    <w:rsid w:val="003E2F98"/>
    <w:rsid w:val="004109B7"/>
    <w:rsid w:val="0042574B"/>
    <w:rsid w:val="004330ED"/>
    <w:rsid w:val="00481C91"/>
    <w:rsid w:val="004911E3"/>
    <w:rsid w:val="00497D57"/>
    <w:rsid w:val="004A7DD4"/>
    <w:rsid w:val="004B50D8"/>
    <w:rsid w:val="004B5B90"/>
    <w:rsid w:val="00501109"/>
    <w:rsid w:val="005670FE"/>
    <w:rsid w:val="005703C9"/>
    <w:rsid w:val="00597703"/>
    <w:rsid w:val="005A6097"/>
    <w:rsid w:val="005B1DCC"/>
    <w:rsid w:val="005B7323"/>
    <w:rsid w:val="005C0ACD"/>
    <w:rsid w:val="005C25B9"/>
    <w:rsid w:val="006267E6"/>
    <w:rsid w:val="0065303F"/>
    <w:rsid w:val="006558D2"/>
    <w:rsid w:val="00664537"/>
    <w:rsid w:val="00672D25"/>
    <w:rsid w:val="006B100A"/>
    <w:rsid w:val="006C7067"/>
    <w:rsid w:val="006D3E69"/>
    <w:rsid w:val="006E0971"/>
    <w:rsid w:val="007709F6"/>
    <w:rsid w:val="0077113C"/>
    <w:rsid w:val="007965FC"/>
    <w:rsid w:val="007A00FA"/>
    <w:rsid w:val="007A4997"/>
    <w:rsid w:val="007D2608"/>
    <w:rsid w:val="008164E5"/>
    <w:rsid w:val="00830081"/>
    <w:rsid w:val="008467D7"/>
    <w:rsid w:val="00852541"/>
    <w:rsid w:val="00865D47"/>
    <w:rsid w:val="00874C99"/>
    <w:rsid w:val="0088452C"/>
    <w:rsid w:val="008B0E49"/>
    <w:rsid w:val="008C1231"/>
    <w:rsid w:val="008D7DCB"/>
    <w:rsid w:val="009055DB"/>
    <w:rsid w:val="00905ECB"/>
    <w:rsid w:val="0096165D"/>
    <w:rsid w:val="009710A6"/>
    <w:rsid w:val="009A409F"/>
    <w:rsid w:val="009B5845"/>
    <w:rsid w:val="009C051C"/>
    <w:rsid w:val="009C0C1F"/>
    <w:rsid w:val="009E0C90"/>
    <w:rsid w:val="00A05EDF"/>
    <w:rsid w:val="00A10505"/>
    <w:rsid w:val="00A1288B"/>
    <w:rsid w:val="00A219F3"/>
    <w:rsid w:val="00A3260E"/>
    <w:rsid w:val="00A346C5"/>
    <w:rsid w:val="00A42A6A"/>
    <w:rsid w:val="00A43A36"/>
    <w:rsid w:val="00A53203"/>
    <w:rsid w:val="00A75BD3"/>
    <w:rsid w:val="00A772EB"/>
    <w:rsid w:val="00AC58A8"/>
    <w:rsid w:val="00AE43AD"/>
    <w:rsid w:val="00B01BA6"/>
    <w:rsid w:val="00B16263"/>
    <w:rsid w:val="00B30FC5"/>
    <w:rsid w:val="00B33ACC"/>
    <w:rsid w:val="00B4708A"/>
    <w:rsid w:val="00B60050"/>
    <w:rsid w:val="00B64AC9"/>
    <w:rsid w:val="00BF48CC"/>
    <w:rsid w:val="00BF623B"/>
    <w:rsid w:val="00C035D4"/>
    <w:rsid w:val="00C47597"/>
    <w:rsid w:val="00C679BF"/>
    <w:rsid w:val="00C81BBD"/>
    <w:rsid w:val="00C909A1"/>
    <w:rsid w:val="00CD3132"/>
    <w:rsid w:val="00CE27CD"/>
    <w:rsid w:val="00D10DD7"/>
    <w:rsid w:val="00D134F3"/>
    <w:rsid w:val="00D47D01"/>
    <w:rsid w:val="00D545EB"/>
    <w:rsid w:val="00D774B3"/>
    <w:rsid w:val="00DB4FF6"/>
    <w:rsid w:val="00DD35A5"/>
    <w:rsid w:val="00DE5E74"/>
    <w:rsid w:val="00DE6361"/>
    <w:rsid w:val="00DF68BE"/>
    <w:rsid w:val="00DF712A"/>
    <w:rsid w:val="00E113E0"/>
    <w:rsid w:val="00E25DF4"/>
    <w:rsid w:val="00E3485D"/>
    <w:rsid w:val="00E6619B"/>
    <w:rsid w:val="00E752D4"/>
    <w:rsid w:val="00E84038"/>
    <w:rsid w:val="00EA1CE4"/>
    <w:rsid w:val="00EA69AC"/>
    <w:rsid w:val="00EB40A1"/>
    <w:rsid w:val="00EB6854"/>
    <w:rsid w:val="00EB7F99"/>
    <w:rsid w:val="00EC3112"/>
    <w:rsid w:val="00ED1087"/>
    <w:rsid w:val="00ED5E57"/>
    <w:rsid w:val="00EE1BD8"/>
    <w:rsid w:val="00FA5BBE"/>
    <w:rsid w:val="00FA7B54"/>
    <w:rsid w:val="00FB2EF9"/>
    <w:rsid w:val="00FD50BB"/>
    <w:rsid w:val="00FF182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pPr>
      <w:widowControl w:val="0"/>
    </w:pPr>
    <w:rPr>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emiHidden/>
  </w:style>
  <w:style w:type="character" w:styleId="Eindnootmarkering">
    <w:name w:val="endnote reference"/>
    <w:semiHidden/>
    <w:rPr>
      <w:sz w:val="20"/>
      <w:vertAlign w:val="superscript"/>
    </w:rPr>
  </w:style>
  <w:style w:type="paragraph" w:styleId="Voetnoottekst">
    <w:name w:val="footnote text"/>
    <w:basedOn w:val="Standaard"/>
    <w:semiHidden/>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sz w:val="24"/>
    </w:rPr>
  </w:style>
  <w:style w:type="character" w:customStyle="1" w:styleId="Alineanummer1">
    <w:name w:val="Alineanummer 1"/>
    <w:rPr>
      <w:sz w:val="20"/>
    </w:rPr>
  </w:style>
  <w:style w:type="character" w:customStyle="1" w:styleId="Bibliografie1">
    <w:name w:val="Bibliografie1"/>
    <w:rPr>
      <w:sz w:val="20"/>
    </w:rPr>
  </w:style>
  <w:style w:type="character" w:customStyle="1" w:styleId="Dokument5">
    <w:name w:val="Dokument 5"/>
    <w:rPr>
      <w:sz w:val="20"/>
    </w:rPr>
  </w:style>
  <w:style w:type="character" w:customStyle="1" w:styleId="Dokument6">
    <w:name w:val="Dokument 6"/>
    <w:rPr>
      <w:sz w:val="20"/>
    </w:rPr>
  </w:style>
  <w:style w:type="character" w:customStyle="1" w:styleId="Dokument4">
    <w:name w:val="Dokument 4"/>
    <w:rPr>
      <w:b/>
      <w:i/>
    </w:rPr>
  </w:style>
  <w:style w:type="character" w:customStyle="1" w:styleId="Alineanummer2">
    <w:name w:val="Alineanummer 2"/>
    <w:rPr>
      <w:sz w:val="20"/>
    </w:rPr>
  </w:style>
  <w:style w:type="paragraph" w:customStyle="1" w:styleId="Dokument1">
    <w:name w:val="Dokument 1"/>
    <w:pPr>
      <w:keepNext/>
      <w:keepLines/>
      <w:widowControl w:val="0"/>
      <w:tabs>
        <w:tab w:val="left" w:pos="-720"/>
      </w:tabs>
      <w:suppressAutoHyphens/>
    </w:pPr>
    <w:rPr>
      <w:rFonts w:ascii="Courier New" w:hAnsi="Courier New"/>
      <w:sz w:val="24"/>
    </w:rPr>
  </w:style>
  <w:style w:type="character" w:customStyle="1" w:styleId="Alineanummer3">
    <w:name w:val="Alineanummer 3"/>
    <w:rPr>
      <w:sz w:val="20"/>
    </w:rPr>
  </w:style>
  <w:style w:type="character" w:customStyle="1" w:styleId="Alineanummer4">
    <w:name w:val="Alineanummer 4"/>
    <w:rPr>
      <w:sz w:val="20"/>
    </w:rPr>
  </w:style>
  <w:style w:type="character" w:customStyle="1" w:styleId="Alineanummer5">
    <w:name w:val="Alineanummer 5"/>
    <w:rPr>
      <w:sz w:val="20"/>
    </w:rPr>
  </w:style>
  <w:style w:type="character" w:customStyle="1" w:styleId="Alineanummer6">
    <w:name w:val="Alineanummer 6"/>
    <w:rPr>
      <w:sz w:val="20"/>
    </w:rPr>
  </w:style>
  <w:style w:type="character" w:customStyle="1" w:styleId="Dokument2">
    <w:name w:val="Dokument 2"/>
    <w:rPr>
      <w:rFonts w:ascii="Courier New" w:hAnsi="Courier New"/>
    </w:rPr>
  </w:style>
  <w:style w:type="character" w:customStyle="1" w:styleId="Alineanummer7">
    <w:name w:val="Alineanummer 7"/>
    <w:rPr>
      <w:sz w:val="20"/>
    </w:rPr>
  </w:style>
  <w:style w:type="character" w:customStyle="1" w:styleId="Alineanummer8">
    <w:name w:val="Alineanummer 8"/>
    <w:rPr>
      <w:sz w:val="20"/>
    </w:rPr>
  </w:style>
  <w:style w:type="character" w:customStyle="1" w:styleId="Techninit">
    <w:name w:val="Techn init"/>
    <w:rPr>
      <w:rFonts w:ascii="Courier New" w:hAnsi="Courier New"/>
    </w:rPr>
  </w:style>
  <w:style w:type="character" w:customStyle="1" w:styleId="Dokuinit">
    <w:name w:val="Doku init"/>
    <w:rPr>
      <w:sz w:val="20"/>
    </w:rPr>
  </w:style>
  <w:style w:type="character" w:customStyle="1" w:styleId="Dokument3">
    <w:name w:val="Dokument 3"/>
    <w:rPr>
      <w:rFonts w:ascii="Courier New" w:hAnsi="Courier New"/>
    </w:rPr>
  </w:style>
  <w:style w:type="character" w:customStyle="1" w:styleId="Dokument7">
    <w:name w:val="Dokument 7"/>
    <w:rPr>
      <w:sz w:val="20"/>
    </w:rPr>
  </w:style>
  <w:style w:type="character" w:customStyle="1" w:styleId="Dokument8">
    <w:name w:val="Dokument 8"/>
    <w:rPr>
      <w:sz w:val="20"/>
    </w:rPr>
  </w:style>
  <w:style w:type="character" w:customStyle="1" w:styleId="Technisch1">
    <w:name w:val="Technisch 1"/>
    <w:rPr>
      <w:rFonts w:ascii="Courier New" w:hAnsi="Courier New"/>
    </w:rPr>
  </w:style>
  <w:style w:type="character" w:customStyle="1" w:styleId="Technisch2">
    <w:name w:val="Technisch 2"/>
    <w:rPr>
      <w:rFonts w:ascii="Courier New" w:hAnsi="Courier New"/>
    </w:rPr>
  </w:style>
  <w:style w:type="character" w:customStyle="1" w:styleId="Technisch3">
    <w:name w:val="Technisch 3"/>
    <w:rPr>
      <w:rFonts w:ascii="Courier New" w:hAnsi="Courier New"/>
    </w:rPr>
  </w:style>
  <w:style w:type="character" w:customStyle="1" w:styleId="Technisch5">
    <w:name w:val="Technisch 5"/>
    <w:rPr>
      <w:sz w:val="20"/>
    </w:rPr>
  </w:style>
  <w:style w:type="character" w:customStyle="1" w:styleId="Technisch6">
    <w:name w:val="Technisch 6"/>
    <w:rPr>
      <w:sz w:val="20"/>
    </w:rPr>
  </w:style>
  <w:style w:type="character" w:customStyle="1" w:styleId="Technisch7">
    <w:name w:val="Technisch 7"/>
    <w:rPr>
      <w:sz w:val="20"/>
    </w:rPr>
  </w:style>
  <w:style w:type="character" w:customStyle="1" w:styleId="Technisch4">
    <w:name w:val="Technisch 4"/>
    <w:rPr>
      <w:sz w:val="20"/>
    </w:rPr>
  </w:style>
  <w:style w:type="character" w:customStyle="1" w:styleId="Technisch8">
    <w:name w:val="Technisch 8"/>
    <w:rPr>
      <w:sz w:val="20"/>
    </w:rPr>
  </w:style>
  <w:style w:type="paragraph" w:customStyle="1" w:styleId="Amendement">
    <w:name w:val="Amendement"/>
    <w:pPr>
      <w:widowControl w:val="0"/>
      <w:tabs>
        <w:tab w:val="left" w:pos="3310"/>
        <w:tab w:val="left" w:pos="3600"/>
      </w:tabs>
      <w:suppressAutoHyphens/>
    </w:pPr>
    <w:rPr>
      <w:rFonts w:ascii="Courier New" w:hAnsi="Courier New"/>
      <w:b/>
      <w:sz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semiHidden/>
    <w:pPr>
      <w:tabs>
        <w:tab w:val="right" w:leader="dot" w:pos="9360"/>
      </w:tabs>
      <w:suppressAutoHyphens/>
      <w:ind w:left="1440" w:right="720" w:hanging="1440"/>
    </w:pPr>
  </w:style>
  <w:style w:type="paragraph" w:styleId="Index2">
    <w:name w:val="index 2"/>
    <w:basedOn w:val="Standaard"/>
    <w:next w:val="Standaard"/>
    <w:semiHidden/>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Ballontekst">
    <w:name w:val="Balloon Text"/>
    <w:basedOn w:val="Standaard"/>
    <w:link w:val="BallontekstChar"/>
    <w:rsid w:val="006267E6"/>
    <w:rPr>
      <w:rFonts w:ascii="Tahoma" w:hAnsi="Tahoma" w:cs="Tahoma"/>
      <w:sz w:val="16"/>
      <w:szCs w:val="16"/>
    </w:rPr>
  </w:style>
  <w:style w:type="character" w:customStyle="1" w:styleId="BallontekstChar">
    <w:name w:val="Ballontekst Char"/>
    <w:link w:val="Ballontekst"/>
    <w:rsid w:val="006267E6"/>
    <w:rPr>
      <w:rFonts w:ascii="Tahoma" w:hAnsi="Tahoma" w:cs="Tahoma"/>
      <w:sz w:val="16"/>
      <w:szCs w:val="16"/>
    </w:rPr>
  </w:style>
  <w:style w:type="paragraph" w:styleId="Tekstopmerking">
    <w:name w:val="annotation text"/>
    <w:basedOn w:val="Standaard"/>
    <w:link w:val="TekstopmerkingChar"/>
    <w:rsid w:val="00E752D4"/>
    <w:rPr>
      <w:sz w:val="20"/>
    </w:rPr>
  </w:style>
  <w:style w:type="character" w:customStyle="1" w:styleId="TekstopmerkingChar">
    <w:name w:val="Tekst opmerking Char"/>
    <w:basedOn w:val="Standaardalinea-lettertype"/>
    <w:link w:val="Tekstopmerking"/>
    <w:rsid w:val="00E752D4"/>
  </w:style>
  <w:style w:type="character" w:styleId="Verwijzingopmerking">
    <w:name w:val="annotation reference"/>
    <w:basedOn w:val="Standaardalinea-lettertype"/>
    <w:unhideWhenUsed/>
    <w:rsid w:val="00E752D4"/>
    <w:rPr>
      <w:sz w:val="16"/>
      <w:szCs w:val="16"/>
    </w:rPr>
  </w:style>
  <w:style w:type="paragraph" w:styleId="Onderwerpvanopmerking">
    <w:name w:val="annotation subject"/>
    <w:basedOn w:val="Tekstopmerking"/>
    <w:next w:val="Tekstopmerking"/>
    <w:link w:val="OnderwerpvanopmerkingChar"/>
    <w:rsid w:val="00212F52"/>
    <w:rPr>
      <w:b/>
      <w:bCs/>
    </w:rPr>
  </w:style>
  <w:style w:type="character" w:customStyle="1" w:styleId="OnderwerpvanopmerkingChar">
    <w:name w:val="Onderwerp van opmerking Char"/>
    <w:basedOn w:val="TekstopmerkingChar"/>
    <w:link w:val="Onderwerpvanopmerking"/>
    <w:rsid w:val="00212F52"/>
    <w:rPr>
      <w:b/>
      <w:bCs/>
    </w:rPr>
  </w:style>
  <w:style w:type="paragraph" w:styleId="Revisie">
    <w:name w:val="Revision"/>
    <w:hidden/>
    <w:uiPriority w:val="99"/>
    <w:semiHidden/>
    <w:rsid w:val="00B33ACC"/>
    <w:rPr>
      <w:sz w:val="24"/>
    </w:rPr>
  </w:style>
  <w:style w:type="paragraph" w:styleId="Lijstalinea">
    <w:name w:val="List Paragraph"/>
    <w:basedOn w:val="Standaard"/>
    <w:uiPriority w:val="34"/>
    <w:qFormat/>
    <w:rsid w:val="009E0C90"/>
    <w:pPr>
      <w:widowControl/>
      <w:autoSpaceDN w:val="0"/>
      <w:spacing w:line="240" w:lineRule="exact"/>
      <w:ind w:left="720"/>
      <w:contextualSpacing/>
    </w:pPr>
    <w:rPr>
      <w:rFonts w:ascii="Verdana" w:eastAsia="DejaVu Sans" w:hAnsi="Verdana" w:cs="Lohit Hindi"/>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pPr>
      <w:widowControl w:val="0"/>
    </w:pPr>
    <w:rPr>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emiHidden/>
  </w:style>
  <w:style w:type="character" w:styleId="Eindnootmarkering">
    <w:name w:val="endnote reference"/>
    <w:semiHidden/>
    <w:rPr>
      <w:sz w:val="20"/>
      <w:vertAlign w:val="superscript"/>
    </w:rPr>
  </w:style>
  <w:style w:type="paragraph" w:styleId="Voetnoottekst">
    <w:name w:val="footnote text"/>
    <w:basedOn w:val="Standaard"/>
    <w:semiHidden/>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sz w:val="24"/>
    </w:rPr>
  </w:style>
  <w:style w:type="character" w:customStyle="1" w:styleId="Alineanummer1">
    <w:name w:val="Alineanummer 1"/>
    <w:rPr>
      <w:sz w:val="20"/>
    </w:rPr>
  </w:style>
  <w:style w:type="character" w:customStyle="1" w:styleId="Bibliografie1">
    <w:name w:val="Bibliografie1"/>
    <w:rPr>
      <w:sz w:val="20"/>
    </w:rPr>
  </w:style>
  <w:style w:type="character" w:customStyle="1" w:styleId="Dokument5">
    <w:name w:val="Dokument 5"/>
    <w:rPr>
      <w:sz w:val="20"/>
    </w:rPr>
  </w:style>
  <w:style w:type="character" w:customStyle="1" w:styleId="Dokument6">
    <w:name w:val="Dokument 6"/>
    <w:rPr>
      <w:sz w:val="20"/>
    </w:rPr>
  </w:style>
  <w:style w:type="character" w:customStyle="1" w:styleId="Dokument4">
    <w:name w:val="Dokument 4"/>
    <w:rPr>
      <w:b/>
      <w:i/>
    </w:rPr>
  </w:style>
  <w:style w:type="character" w:customStyle="1" w:styleId="Alineanummer2">
    <w:name w:val="Alineanummer 2"/>
    <w:rPr>
      <w:sz w:val="20"/>
    </w:rPr>
  </w:style>
  <w:style w:type="paragraph" w:customStyle="1" w:styleId="Dokument1">
    <w:name w:val="Dokument 1"/>
    <w:pPr>
      <w:keepNext/>
      <w:keepLines/>
      <w:widowControl w:val="0"/>
      <w:tabs>
        <w:tab w:val="left" w:pos="-720"/>
      </w:tabs>
      <w:suppressAutoHyphens/>
    </w:pPr>
    <w:rPr>
      <w:rFonts w:ascii="Courier New" w:hAnsi="Courier New"/>
      <w:sz w:val="24"/>
    </w:rPr>
  </w:style>
  <w:style w:type="character" w:customStyle="1" w:styleId="Alineanummer3">
    <w:name w:val="Alineanummer 3"/>
    <w:rPr>
      <w:sz w:val="20"/>
    </w:rPr>
  </w:style>
  <w:style w:type="character" w:customStyle="1" w:styleId="Alineanummer4">
    <w:name w:val="Alineanummer 4"/>
    <w:rPr>
      <w:sz w:val="20"/>
    </w:rPr>
  </w:style>
  <w:style w:type="character" w:customStyle="1" w:styleId="Alineanummer5">
    <w:name w:val="Alineanummer 5"/>
    <w:rPr>
      <w:sz w:val="20"/>
    </w:rPr>
  </w:style>
  <w:style w:type="character" w:customStyle="1" w:styleId="Alineanummer6">
    <w:name w:val="Alineanummer 6"/>
    <w:rPr>
      <w:sz w:val="20"/>
    </w:rPr>
  </w:style>
  <w:style w:type="character" w:customStyle="1" w:styleId="Dokument2">
    <w:name w:val="Dokument 2"/>
    <w:rPr>
      <w:rFonts w:ascii="Courier New" w:hAnsi="Courier New"/>
    </w:rPr>
  </w:style>
  <w:style w:type="character" w:customStyle="1" w:styleId="Alineanummer7">
    <w:name w:val="Alineanummer 7"/>
    <w:rPr>
      <w:sz w:val="20"/>
    </w:rPr>
  </w:style>
  <w:style w:type="character" w:customStyle="1" w:styleId="Alineanummer8">
    <w:name w:val="Alineanummer 8"/>
    <w:rPr>
      <w:sz w:val="20"/>
    </w:rPr>
  </w:style>
  <w:style w:type="character" w:customStyle="1" w:styleId="Techninit">
    <w:name w:val="Techn init"/>
    <w:rPr>
      <w:rFonts w:ascii="Courier New" w:hAnsi="Courier New"/>
    </w:rPr>
  </w:style>
  <w:style w:type="character" w:customStyle="1" w:styleId="Dokuinit">
    <w:name w:val="Doku init"/>
    <w:rPr>
      <w:sz w:val="20"/>
    </w:rPr>
  </w:style>
  <w:style w:type="character" w:customStyle="1" w:styleId="Dokument3">
    <w:name w:val="Dokument 3"/>
    <w:rPr>
      <w:rFonts w:ascii="Courier New" w:hAnsi="Courier New"/>
    </w:rPr>
  </w:style>
  <w:style w:type="character" w:customStyle="1" w:styleId="Dokument7">
    <w:name w:val="Dokument 7"/>
    <w:rPr>
      <w:sz w:val="20"/>
    </w:rPr>
  </w:style>
  <w:style w:type="character" w:customStyle="1" w:styleId="Dokument8">
    <w:name w:val="Dokument 8"/>
    <w:rPr>
      <w:sz w:val="20"/>
    </w:rPr>
  </w:style>
  <w:style w:type="character" w:customStyle="1" w:styleId="Technisch1">
    <w:name w:val="Technisch 1"/>
    <w:rPr>
      <w:rFonts w:ascii="Courier New" w:hAnsi="Courier New"/>
    </w:rPr>
  </w:style>
  <w:style w:type="character" w:customStyle="1" w:styleId="Technisch2">
    <w:name w:val="Technisch 2"/>
    <w:rPr>
      <w:rFonts w:ascii="Courier New" w:hAnsi="Courier New"/>
    </w:rPr>
  </w:style>
  <w:style w:type="character" w:customStyle="1" w:styleId="Technisch3">
    <w:name w:val="Technisch 3"/>
    <w:rPr>
      <w:rFonts w:ascii="Courier New" w:hAnsi="Courier New"/>
    </w:rPr>
  </w:style>
  <w:style w:type="character" w:customStyle="1" w:styleId="Technisch5">
    <w:name w:val="Technisch 5"/>
    <w:rPr>
      <w:sz w:val="20"/>
    </w:rPr>
  </w:style>
  <w:style w:type="character" w:customStyle="1" w:styleId="Technisch6">
    <w:name w:val="Technisch 6"/>
    <w:rPr>
      <w:sz w:val="20"/>
    </w:rPr>
  </w:style>
  <w:style w:type="character" w:customStyle="1" w:styleId="Technisch7">
    <w:name w:val="Technisch 7"/>
    <w:rPr>
      <w:sz w:val="20"/>
    </w:rPr>
  </w:style>
  <w:style w:type="character" w:customStyle="1" w:styleId="Technisch4">
    <w:name w:val="Technisch 4"/>
    <w:rPr>
      <w:sz w:val="20"/>
    </w:rPr>
  </w:style>
  <w:style w:type="character" w:customStyle="1" w:styleId="Technisch8">
    <w:name w:val="Technisch 8"/>
    <w:rPr>
      <w:sz w:val="20"/>
    </w:rPr>
  </w:style>
  <w:style w:type="paragraph" w:customStyle="1" w:styleId="Amendement">
    <w:name w:val="Amendement"/>
    <w:pPr>
      <w:widowControl w:val="0"/>
      <w:tabs>
        <w:tab w:val="left" w:pos="3310"/>
        <w:tab w:val="left" w:pos="3600"/>
      </w:tabs>
      <w:suppressAutoHyphens/>
    </w:pPr>
    <w:rPr>
      <w:rFonts w:ascii="Courier New" w:hAnsi="Courier New"/>
      <w:b/>
      <w:sz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semiHidden/>
    <w:pPr>
      <w:tabs>
        <w:tab w:val="right" w:leader="dot" w:pos="9360"/>
      </w:tabs>
      <w:suppressAutoHyphens/>
      <w:ind w:left="1440" w:right="720" w:hanging="1440"/>
    </w:pPr>
  </w:style>
  <w:style w:type="paragraph" w:styleId="Index2">
    <w:name w:val="index 2"/>
    <w:basedOn w:val="Standaard"/>
    <w:next w:val="Standaard"/>
    <w:semiHidden/>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Ballontekst">
    <w:name w:val="Balloon Text"/>
    <w:basedOn w:val="Standaard"/>
    <w:link w:val="BallontekstChar"/>
    <w:rsid w:val="006267E6"/>
    <w:rPr>
      <w:rFonts w:ascii="Tahoma" w:hAnsi="Tahoma" w:cs="Tahoma"/>
      <w:sz w:val="16"/>
      <w:szCs w:val="16"/>
    </w:rPr>
  </w:style>
  <w:style w:type="character" w:customStyle="1" w:styleId="BallontekstChar">
    <w:name w:val="Ballontekst Char"/>
    <w:link w:val="Ballontekst"/>
    <w:rsid w:val="006267E6"/>
    <w:rPr>
      <w:rFonts w:ascii="Tahoma" w:hAnsi="Tahoma" w:cs="Tahoma"/>
      <w:sz w:val="16"/>
      <w:szCs w:val="16"/>
    </w:rPr>
  </w:style>
  <w:style w:type="paragraph" w:styleId="Tekstopmerking">
    <w:name w:val="annotation text"/>
    <w:basedOn w:val="Standaard"/>
    <w:link w:val="TekstopmerkingChar"/>
    <w:rsid w:val="00E752D4"/>
    <w:rPr>
      <w:sz w:val="20"/>
    </w:rPr>
  </w:style>
  <w:style w:type="character" w:customStyle="1" w:styleId="TekstopmerkingChar">
    <w:name w:val="Tekst opmerking Char"/>
    <w:basedOn w:val="Standaardalinea-lettertype"/>
    <w:link w:val="Tekstopmerking"/>
    <w:rsid w:val="00E752D4"/>
  </w:style>
  <w:style w:type="character" w:styleId="Verwijzingopmerking">
    <w:name w:val="annotation reference"/>
    <w:basedOn w:val="Standaardalinea-lettertype"/>
    <w:unhideWhenUsed/>
    <w:rsid w:val="00E752D4"/>
    <w:rPr>
      <w:sz w:val="16"/>
      <w:szCs w:val="16"/>
    </w:rPr>
  </w:style>
  <w:style w:type="paragraph" w:styleId="Onderwerpvanopmerking">
    <w:name w:val="annotation subject"/>
    <w:basedOn w:val="Tekstopmerking"/>
    <w:next w:val="Tekstopmerking"/>
    <w:link w:val="OnderwerpvanopmerkingChar"/>
    <w:rsid w:val="00212F52"/>
    <w:rPr>
      <w:b/>
      <w:bCs/>
    </w:rPr>
  </w:style>
  <w:style w:type="character" w:customStyle="1" w:styleId="OnderwerpvanopmerkingChar">
    <w:name w:val="Onderwerp van opmerking Char"/>
    <w:basedOn w:val="TekstopmerkingChar"/>
    <w:link w:val="Onderwerpvanopmerking"/>
    <w:rsid w:val="00212F52"/>
    <w:rPr>
      <w:b/>
      <w:bCs/>
    </w:rPr>
  </w:style>
  <w:style w:type="paragraph" w:styleId="Revisie">
    <w:name w:val="Revision"/>
    <w:hidden/>
    <w:uiPriority w:val="99"/>
    <w:semiHidden/>
    <w:rsid w:val="00B33ACC"/>
    <w:rPr>
      <w:sz w:val="24"/>
    </w:rPr>
  </w:style>
  <w:style w:type="paragraph" w:styleId="Lijstalinea">
    <w:name w:val="List Paragraph"/>
    <w:basedOn w:val="Standaard"/>
    <w:uiPriority w:val="34"/>
    <w:qFormat/>
    <w:rsid w:val="009E0C90"/>
    <w:pPr>
      <w:widowControl/>
      <w:autoSpaceDN w:val="0"/>
      <w:spacing w:line="240" w:lineRule="exact"/>
      <w:ind w:left="720"/>
      <w:contextualSpacing/>
    </w:pPr>
    <w:rPr>
      <w:rFonts w:ascii="Verdana" w:eastAsia="DejaVu Sans" w:hAnsi="Verdana" w:cs="Lohit Hin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3503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am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E46491F161DBB42A941312771CB7DCF" ma:contentTypeVersion="0" ma:contentTypeDescription="Een nieuw document maken." ma:contentTypeScope="" ma:versionID="60122112fa0cdc2216f1b2c8be1e0644">
  <xsd:schema xmlns:xsd="http://www.w3.org/2001/XMLSchema" xmlns:xs="http://www.w3.org/2001/XMLSchema" xmlns:p="http://schemas.microsoft.com/office/2006/metadata/properties" targetNamespace="http://schemas.microsoft.com/office/2006/metadata/properties" ma:root="true" ma:fieldsID="a17e5968c79d9fe2fc9f8835eee23f5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5D19FC4-1CC1-40B8-A983-6B31C0E31332}"/>
</file>

<file path=customXml/itemProps2.xml><?xml version="1.0" encoding="utf-8"?>
<ds:datastoreItem xmlns:ds="http://schemas.openxmlformats.org/officeDocument/2006/customXml" ds:itemID="{CB93274E-736D-4E0C-B1D3-20EB549E377F}"/>
</file>

<file path=customXml/itemProps3.xml><?xml version="1.0" encoding="utf-8"?>
<ds:datastoreItem xmlns:ds="http://schemas.openxmlformats.org/officeDocument/2006/customXml" ds:itemID="{F1E0B201-66B1-41CF-87E1-20162AD00662}"/>
</file>

<file path=docProps/app.xml><?xml version="1.0" encoding="utf-8"?>
<Properties xmlns="http://schemas.openxmlformats.org/officeDocument/2006/extended-properties" xmlns:vt="http://schemas.openxmlformats.org/officeDocument/2006/docPropsVTypes">
  <Template>amt</Template>
  <TotalTime>1</TotalTime>
  <Pages>2</Pages>
  <Words>863</Words>
  <Characters>4758</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T W E E D E   K A M E R   D E R   S T A T E N - G E N E R A A L                                                        2</vt:lpstr>
    </vt:vector>
  </TitlesOfParts>
  <Company>TK</Company>
  <LinksUpToDate>false</LinksUpToDate>
  <CharactersWithSpaces>5610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 W E E D E   K A M E R   D E R   S T A T E N - G E N E R A A L                                                        2</dc:title>
  <dc:creator>Ad.R</dc:creator>
  <cp:lastModifiedBy>AdR</cp:lastModifiedBy>
  <cp:revision>3</cp:revision>
  <cp:lastPrinted>2005-08-22T11:50:00Z</cp:lastPrinted>
  <dcterms:created xsi:type="dcterms:W3CDTF">2017-02-14T16:48:00Z</dcterms:created>
  <dcterms:modified xsi:type="dcterms:W3CDTF">2017-02-14T16:48:00Z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0x010100EE46491F161DBB42A941312771CB7DCF</vt:lpwstr>
  </property>
</Properties>
</file>